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013</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hint="eastAsia" w:eastAsia="宋体"/>
          <w:b/>
          <w:sz w:val="36"/>
          <w:szCs w:val="36"/>
        </w:rPr>
        <w:t>关于控股股东增持公司股份计划的公告</w:t>
      </w:r>
    </w:p>
    <w:p>
      <w:pPr>
        <w:snapToGrid w:val="0"/>
        <w:spacing w:before="156" w:beforeLines="50" w:line="360" w:lineRule="auto"/>
        <w:ind w:firstLine="422" w:firstLineChars="200"/>
        <w:rPr>
          <w:rFonts w:hint="eastAsia" w:eastAsia="宋体"/>
          <w:b/>
          <w:szCs w:val="21"/>
        </w:rPr>
      </w:pPr>
      <w:r>
        <w:rPr>
          <w:rFonts w:hint="eastAsia" w:eastAsia="宋体"/>
          <w:b/>
          <w:szCs w:val="21"/>
        </w:rPr>
        <w:t>中广核核技术应用有限公司保证向本公司提供的信息内容真实、准确、完整，没有虚假记载、误导性陈述或重大遗漏。</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eastAsia="宋体"/>
          <w:b/>
          <w:szCs w:val="21"/>
        </w:rPr>
      </w:pPr>
      <w:r>
        <w:rPr>
          <w:rFonts w:hint="eastAsia" w:eastAsia="宋体"/>
          <w:b/>
          <w:szCs w:val="21"/>
        </w:rPr>
        <w:t>本公司及董事会全体成员保证公告内容与信息披露义务人提供的信息一致。</w:t>
      </w:r>
    </w:p>
    <w:p>
      <w:pPr>
        <w:adjustRightInd w:val="0"/>
        <w:snapToGrid w:val="0"/>
        <w:spacing w:line="360" w:lineRule="auto"/>
        <w:ind w:firstLine="482" w:firstLineChars="200"/>
        <w:outlineLvl w:val="0"/>
        <w:rPr>
          <w:rFonts w:hint="default" w:eastAsia="宋体"/>
          <w:b/>
          <w:bCs w:val="0"/>
          <w:sz w:val="24"/>
          <w:szCs w:val="24"/>
          <w:lang w:val="en-US" w:eastAsia="zh-CN"/>
        </w:rPr>
      </w:pPr>
      <w:r>
        <w:rPr>
          <w:rFonts w:hint="eastAsia" w:eastAsia="宋体"/>
          <w:b/>
          <w:bCs w:val="0"/>
          <w:sz w:val="24"/>
          <w:szCs w:val="24"/>
          <w:lang w:val="en-US" w:eastAsia="zh-CN"/>
        </w:rPr>
        <w:t>特别提示：</w:t>
      </w:r>
    </w:p>
    <w:p>
      <w:pPr>
        <w:numPr>
          <w:ilvl w:val="0"/>
          <w:numId w:val="0"/>
        </w:numPr>
        <w:adjustRightInd w:val="0"/>
        <w:snapToGrid w:val="0"/>
        <w:spacing w:line="360" w:lineRule="auto"/>
        <w:ind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1、公司控股股东中广核核技术应用有限公司（以下简称“核技术应用”）拟在本公告披露之日起6个月内以集中竞价交易的方式增持公司股份不少于657.93万股，且不超过1,315.86万股。本次增持计划未设定价格区间，增持主体将基于对公司股票价值的合理判断，并根据公司股票价格波动情况及资本市场整体趋势，择机实施增持计划。</w:t>
      </w:r>
    </w:p>
    <w:p>
      <w:pPr>
        <w:widowControl w:val="0"/>
        <w:numPr>
          <w:ilvl w:val="0"/>
          <w:numId w:val="0"/>
        </w:numPr>
        <w:adjustRightInd w:val="0"/>
        <w:snapToGrid w:val="0"/>
        <w:spacing w:line="360" w:lineRule="auto"/>
        <w:ind w:firstLine="480" w:firstLineChars="200"/>
        <w:jc w:val="both"/>
        <w:outlineLvl w:val="0"/>
        <w:rPr>
          <w:rFonts w:hint="default" w:eastAsia="宋体"/>
          <w:b w:val="0"/>
          <w:bCs/>
          <w:sz w:val="24"/>
          <w:szCs w:val="24"/>
          <w:lang w:val="en-US" w:eastAsia="zh-CN"/>
        </w:rPr>
      </w:pPr>
      <w:r>
        <w:rPr>
          <w:rFonts w:hint="eastAsia" w:eastAsia="宋体"/>
          <w:b w:val="0"/>
          <w:bCs/>
          <w:sz w:val="24"/>
          <w:szCs w:val="24"/>
          <w:lang w:val="en-US" w:eastAsia="zh-CN"/>
        </w:rPr>
        <w:t>2、本次增持计划可能存在因资本市场情况发生变化或目前尚无法预判的其他风险因素，导致增持计划延迟实施或无法完成实施的风险。如增持计划实施过程中出现相关风险情形，信息披露义务人将及时履行信息披露义务。</w:t>
      </w:r>
    </w:p>
    <w:p>
      <w:pPr>
        <w:adjustRightInd w:val="0"/>
        <w:snapToGrid w:val="0"/>
        <w:spacing w:line="360" w:lineRule="auto"/>
        <w:ind w:firstLine="482" w:firstLineChars="200"/>
        <w:outlineLvl w:val="0"/>
        <w:rPr>
          <w:rFonts w:hint="eastAsia" w:eastAsia="宋体"/>
          <w:b/>
          <w:bCs w:val="0"/>
          <w:sz w:val="24"/>
          <w:szCs w:val="24"/>
        </w:rPr>
      </w:pPr>
      <w:r>
        <w:rPr>
          <w:rFonts w:hint="eastAsia" w:eastAsia="宋体"/>
          <w:b/>
          <w:bCs w:val="0"/>
          <w:sz w:val="24"/>
          <w:szCs w:val="24"/>
        </w:rPr>
        <w:t>一、计划增持主体的基本情况</w:t>
      </w:r>
    </w:p>
    <w:p>
      <w:pPr>
        <w:adjustRightInd w:val="0"/>
        <w:snapToGrid w:val="0"/>
        <w:spacing w:line="360" w:lineRule="auto"/>
        <w:ind w:firstLine="480" w:firstLineChars="200"/>
        <w:outlineLvl w:val="0"/>
        <w:rPr>
          <w:rFonts w:hint="default" w:eastAsia="宋体"/>
          <w:b w:val="0"/>
          <w:bCs/>
          <w:sz w:val="24"/>
          <w:szCs w:val="24"/>
          <w:lang w:val="en-US" w:eastAsia="zh-CN"/>
        </w:rPr>
      </w:pPr>
      <w:r>
        <w:rPr>
          <w:rFonts w:hint="eastAsia" w:eastAsia="宋体"/>
          <w:b w:val="0"/>
          <w:bCs/>
          <w:sz w:val="24"/>
          <w:szCs w:val="24"/>
          <w:lang w:val="en-US" w:eastAsia="zh-CN"/>
        </w:rPr>
        <w:t>1、增持主体：公司控股股东中广核核技术应用有限公司。截止公告披露日核技术应用持有公司257,911,972股，占公司总股本的27.28%；核技术应用的一致行动人中广核资本控股有限公司（以下简称“资本控股”）持有公司12,557,084股，占公司总股本的1.33%。核技术应用和资本控股合计持有公司270,469,056股，占公司总股本的28.61%。</w:t>
      </w:r>
    </w:p>
    <w:p>
      <w:pPr>
        <w:adjustRightInd w:val="0"/>
        <w:snapToGrid w:val="0"/>
        <w:spacing w:line="360" w:lineRule="auto"/>
        <w:ind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2、上述计划增持主体在本次公告前的12个月内未披露增持计划。公司原拟向核技术应用等交易对方发行股份购买资产并募集配套资金，经董事会审议通过，现已与交易各方签署相关终止协议，目前尚需提交2024年第二次临时股东大会审议。</w:t>
      </w:r>
    </w:p>
    <w:p>
      <w:pPr>
        <w:adjustRightInd w:val="0"/>
        <w:snapToGrid w:val="0"/>
        <w:spacing w:line="360" w:lineRule="auto"/>
        <w:ind w:firstLine="480" w:firstLineChars="200"/>
        <w:outlineLvl w:val="0"/>
        <w:rPr>
          <w:rFonts w:hint="default" w:eastAsia="宋体"/>
          <w:b w:val="0"/>
          <w:bCs/>
          <w:sz w:val="24"/>
          <w:szCs w:val="24"/>
          <w:lang w:val="en-US" w:eastAsia="zh-CN"/>
        </w:rPr>
      </w:pPr>
      <w:r>
        <w:rPr>
          <w:rFonts w:hint="eastAsia" w:eastAsia="宋体"/>
          <w:b w:val="0"/>
          <w:bCs/>
          <w:sz w:val="24"/>
          <w:szCs w:val="24"/>
          <w:lang w:val="en-US" w:eastAsia="zh-CN"/>
        </w:rPr>
        <w:t>3、上述计划增持主体在本次公告前6个月不存在减持公司股份的情形。</w:t>
      </w:r>
    </w:p>
    <w:p>
      <w:pPr>
        <w:adjustRightInd w:val="0"/>
        <w:snapToGrid w:val="0"/>
        <w:spacing w:line="360" w:lineRule="auto"/>
        <w:ind w:firstLine="482" w:firstLineChars="200"/>
        <w:outlineLvl w:val="0"/>
        <w:rPr>
          <w:rFonts w:hint="default" w:eastAsia="宋体"/>
          <w:b/>
          <w:bCs w:val="0"/>
          <w:sz w:val="24"/>
          <w:szCs w:val="24"/>
          <w:lang w:val="en-US" w:eastAsia="zh-CN"/>
        </w:rPr>
      </w:pPr>
      <w:r>
        <w:rPr>
          <w:rFonts w:hint="eastAsia" w:eastAsia="宋体"/>
          <w:b/>
          <w:bCs w:val="0"/>
          <w:sz w:val="24"/>
          <w:szCs w:val="24"/>
          <w:lang w:val="en-US" w:eastAsia="zh-CN"/>
        </w:rPr>
        <w:t>二、增持计划的主要内容</w:t>
      </w:r>
    </w:p>
    <w:p>
      <w:pPr>
        <w:adjustRightInd w:val="0"/>
        <w:snapToGrid w:val="0"/>
        <w:spacing w:line="360" w:lineRule="auto"/>
        <w:ind w:left="0" w:leftChars="0"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1、本次拟增持股份的目的：基于对公司长期投资价值的认可及对公司未来</w:t>
      </w:r>
    </w:p>
    <w:p>
      <w:pPr>
        <w:adjustRightInd w:val="0"/>
        <w:snapToGrid w:val="0"/>
        <w:spacing w:line="360" w:lineRule="auto"/>
        <w:ind w:left="0" w:leftChars="0" w:firstLine="0" w:firstLineChars="0"/>
        <w:outlineLvl w:val="0"/>
        <w:rPr>
          <w:rFonts w:hint="eastAsia" w:eastAsia="宋体"/>
          <w:b w:val="0"/>
          <w:bCs/>
          <w:sz w:val="24"/>
          <w:szCs w:val="24"/>
          <w:lang w:val="en-US" w:eastAsia="zh-CN"/>
        </w:rPr>
      </w:pPr>
      <w:r>
        <w:rPr>
          <w:rFonts w:hint="eastAsia" w:eastAsia="宋体"/>
          <w:b w:val="0"/>
          <w:bCs/>
          <w:sz w:val="24"/>
          <w:szCs w:val="24"/>
          <w:lang w:val="en-US" w:eastAsia="zh-CN"/>
        </w:rPr>
        <w:t>持续稳定发展的信心，切实维护广大投资者权益和资本市场稳定。</w:t>
      </w:r>
    </w:p>
    <w:p>
      <w:pPr>
        <w:adjustRightInd w:val="0"/>
        <w:snapToGrid w:val="0"/>
        <w:spacing w:line="360" w:lineRule="auto"/>
        <w:ind w:left="0" w:leftChars="0" w:firstLine="480" w:firstLineChars="200"/>
        <w:outlineLvl w:val="0"/>
        <w:rPr>
          <w:rFonts w:hint="default" w:eastAsia="宋体"/>
          <w:b w:val="0"/>
          <w:bCs/>
          <w:sz w:val="24"/>
          <w:szCs w:val="24"/>
          <w:lang w:val="en-US" w:eastAsia="zh-CN"/>
        </w:rPr>
      </w:pPr>
      <w:r>
        <w:rPr>
          <w:rFonts w:hint="eastAsia" w:eastAsia="宋体"/>
          <w:b w:val="0"/>
          <w:bCs/>
          <w:sz w:val="24"/>
          <w:szCs w:val="24"/>
          <w:lang w:val="en-US" w:eastAsia="zh-CN"/>
        </w:rPr>
        <w:t>2、本次拟增持股份的数量：拟累计增持公司股份不少于657.93万股，且不超过1,315.86万股，增持完成后核技术应用和资本控股合计持有公司股份的比例不超过30%。</w:t>
      </w:r>
    </w:p>
    <w:p>
      <w:pPr>
        <w:adjustRightInd w:val="0"/>
        <w:snapToGrid w:val="0"/>
        <w:spacing w:line="360" w:lineRule="auto"/>
        <w:ind w:left="0" w:leftChars="0"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3、本次拟增持股份的价格：本次增持计划未设定价格区间，增持主体将基于对公司股票价值的合理判断，并根据公司股票价格波动情况及资本市场整体趋势，择机实施增持计划。</w:t>
      </w:r>
    </w:p>
    <w:p>
      <w:pPr>
        <w:adjustRightInd w:val="0"/>
        <w:snapToGrid w:val="0"/>
        <w:spacing w:line="360" w:lineRule="auto"/>
        <w:ind w:left="0" w:leftChars="0"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4、本次增持计划的实施期限：自本公告披露之日起6个月内。增持计划实</w:t>
      </w:r>
    </w:p>
    <w:p>
      <w:pPr>
        <w:adjustRightInd w:val="0"/>
        <w:snapToGrid w:val="0"/>
        <w:spacing w:line="360" w:lineRule="auto"/>
        <w:outlineLvl w:val="0"/>
        <w:rPr>
          <w:rFonts w:hint="eastAsia" w:eastAsia="宋体"/>
          <w:b w:val="0"/>
          <w:bCs/>
          <w:sz w:val="24"/>
          <w:szCs w:val="24"/>
          <w:lang w:val="en-US" w:eastAsia="zh-CN"/>
        </w:rPr>
      </w:pPr>
      <w:r>
        <w:rPr>
          <w:rFonts w:hint="eastAsia" w:eastAsia="宋体"/>
          <w:b w:val="0"/>
          <w:bCs/>
          <w:sz w:val="24"/>
          <w:szCs w:val="24"/>
          <w:lang w:val="en-US" w:eastAsia="zh-CN"/>
        </w:rPr>
        <w:t>施期间，如遇公司股票停牌，增持计划将在股票复牌后顺延实施并及时披露。</w:t>
      </w:r>
    </w:p>
    <w:p>
      <w:pPr>
        <w:adjustRightInd w:val="0"/>
        <w:snapToGrid w:val="0"/>
        <w:spacing w:line="360" w:lineRule="auto"/>
        <w:ind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5、本次拟增持股份的方式：通过深圳证券交易所交易系统以集中竞价交易的方式增持公司股份。</w:t>
      </w:r>
    </w:p>
    <w:p>
      <w:pPr>
        <w:adjustRightInd w:val="0"/>
        <w:snapToGrid w:val="0"/>
        <w:spacing w:line="360" w:lineRule="auto"/>
        <w:ind w:left="0" w:leftChars="0"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6、本次增持非基于增持主体的特定身份，如丧失相关身份时将继续实施本</w:t>
      </w:r>
    </w:p>
    <w:p>
      <w:pPr>
        <w:adjustRightInd w:val="0"/>
        <w:snapToGrid w:val="0"/>
        <w:spacing w:line="360" w:lineRule="auto"/>
        <w:outlineLvl w:val="0"/>
        <w:rPr>
          <w:rFonts w:hint="eastAsia" w:eastAsia="宋体"/>
          <w:b w:val="0"/>
          <w:bCs/>
          <w:sz w:val="24"/>
          <w:szCs w:val="24"/>
          <w:lang w:val="en-US" w:eastAsia="zh-CN"/>
        </w:rPr>
      </w:pPr>
      <w:r>
        <w:rPr>
          <w:rFonts w:hint="eastAsia" w:eastAsia="宋体"/>
          <w:b w:val="0"/>
          <w:bCs/>
          <w:sz w:val="24"/>
          <w:szCs w:val="24"/>
          <w:lang w:val="en-US" w:eastAsia="zh-CN"/>
        </w:rPr>
        <w:t>增持计划。</w:t>
      </w:r>
    </w:p>
    <w:p>
      <w:pPr>
        <w:adjustRightInd w:val="0"/>
        <w:snapToGrid w:val="0"/>
        <w:spacing w:line="360" w:lineRule="auto"/>
        <w:ind w:left="0" w:leftChars="0"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7、核技术应用承诺本次增持所得股份将遵守中国证监会及深圳证券交易所关于控股股东股份锁定期限的安排。核技术应用承诺在上述实施期限内完成本次增持计划，承诺在增持期间及法定期限内不减持公司股份，并将严格按照中国证监会、深圳证券交易所有关法律、法规及规范性文件的相关规定执行，不进行内幕交易、敏感期买卖股份、短线交易等行为。</w:t>
      </w:r>
    </w:p>
    <w:p>
      <w:pPr>
        <w:adjustRightInd w:val="0"/>
        <w:snapToGrid w:val="0"/>
        <w:spacing w:line="360" w:lineRule="auto"/>
        <w:ind w:left="0" w:leftChars="0" w:firstLine="482" w:firstLineChars="200"/>
        <w:outlineLvl w:val="0"/>
        <w:rPr>
          <w:rFonts w:hint="default" w:eastAsia="宋体"/>
          <w:b/>
          <w:bCs w:val="0"/>
          <w:sz w:val="24"/>
          <w:szCs w:val="24"/>
          <w:lang w:val="en-US" w:eastAsia="zh-CN"/>
        </w:rPr>
      </w:pPr>
      <w:r>
        <w:rPr>
          <w:rFonts w:hint="eastAsia" w:eastAsia="宋体"/>
          <w:b/>
          <w:bCs w:val="0"/>
          <w:sz w:val="24"/>
          <w:szCs w:val="24"/>
          <w:lang w:val="en-US" w:eastAsia="zh-CN"/>
        </w:rPr>
        <w:t>三、增持计划实施的不确定性风险</w:t>
      </w:r>
    </w:p>
    <w:p>
      <w:pPr>
        <w:adjustRightInd w:val="0"/>
        <w:snapToGrid w:val="0"/>
        <w:spacing w:line="360" w:lineRule="auto"/>
        <w:ind w:left="0" w:leftChars="0"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本次增持计划可能存在因资本市场情况发生变化或目前尚无法预判的其他风险因素，导致增持计划延迟实施或无法完成实施的风险。如增持计划实施过程</w:t>
      </w:r>
    </w:p>
    <w:p>
      <w:pPr>
        <w:adjustRightInd w:val="0"/>
        <w:snapToGrid w:val="0"/>
        <w:spacing w:line="360" w:lineRule="auto"/>
        <w:outlineLvl w:val="0"/>
        <w:rPr>
          <w:rFonts w:hint="eastAsia" w:eastAsia="宋体"/>
          <w:b w:val="0"/>
          <w:bCs/>
          <w:sz w:val="24"/>
          <w:szCs w:val="24"/>
          <w:lang w:val="en-US" w:eastAsia="zh-CN"/>
        </w:rPr>
      </w:pPr>
      <w:r>
        <w:rPr>
          <w:rFonts w:hint="eastAsia" w:eastAsia="宋体"/>
          <w:b w:val="0"/>
          <w:bCs/>
          <w:sz w:val="24"/>
          <w:szCs w:val="24"/>
          <w:lang w:val="en-US" w:eastAsia="zh-CN"/>
        </w:rPr>
        <w:t>中出现相关风险情形，信息披露义务人将及时履行信息披露义务。</w:t>
      </w:r>
    </w:p>
    <w:p>
      <w:pPr>
        <w:adjustRightInd w:val="0"/>
        <w:snapToGrid w:val="0"/>
        <w:spacing w:line="360" w:lineRule="auto"/>
        <w:ind w:firstLine="482" w:firstLineChars="200"/>
        <w:outlineLvl w:val="0"/>
        <w:rPr>
          <w:rFonts w:hint="default" w:eastAsia="宋体"/>
          <w:b/>
          <w:bCs w:val="0"/>
          <w:sz w:val="24"/>
          <w:szCs w:val="24"/>
          <w:lang w:val="en-US" w:eastAsia="zh-CN"/>
        </w:rPr>
      </w:pPr>
      <w:r>
        <w:rPr>
          <w:rFonts w:hint="eastAsia" w:eastAsia="宋体"/>
          <w:b/>
          <w:bCs w:val="0"/>
          <w:sz w:val="24"/>
          <w:szCs w:val="24"/>
          <w:lang w:val="en-US" w:eastAsia="zh-CN"/>
        </w:rPr>
        <w:t>四、其他相关说明</w:t>
      </w:r>
    </w:p>
    <w:p>
      <w:pPr>
        <w:adjustRightInd w:val="0"/>
        <w:snapToGrid w:val="0"/>
        <w:spacing w:line="360" w:lineRule="auto"/>
        <w:ind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1、本次增持计划符合《公司法》《证券法》《上市公司收购管理办法》《深圳证券交易所股票上市规则》《深圳证券交易所上市公司自律监管指引第10号—股份变动管理》等法律、法规及规范性文件的有关规定。</w:t>
      </w:r>
    </w:p>
    <w:p>
      <w:pPr>
        <w:adjustRightInd w:val="0"/>
        <w:snapToGrid w:val="0"/>
        <w:spacing w:line="360" w:lineRule="auto"/>
        <w:ind w:firstLine="480" w:firstLineChars="200"/>
        <w:outlineLvl w:val="0"/>
        <w:rPr>
          <w:rFonts w:hint="eastAsia" w:eastAsia="宋体"/>
          <w:b w:val="0"/>
          <w:bCs/>
          <w:sz w:val="24"/>
          <w:szCs w:val="24"/>
          <w:lang w:val="en-US" w:eastAsia="zh-CN"/>
        </w:rPr>
      </w:pPr>
      <w:r>
        <w:rPr>
          <w:rFonts w:hint="eastAsia" w:eastAsia="宋体"/>
          <w:b w:val="0"/>
          <w:bCs/>
          <w:sz w:val="24"/>
          <w:szCs w:val="24"/>
          <w:lang w:val="en-US" w:eastAsia="zh-CN"/>
        </w:rPr>
        <w:t>2、本次股份增持计划的实施不会导致公司股权分布不具备上市条件，不会</w:t>
      </w:r>
    </w:p>
    <w:p>
      <w:pPr>
        <w:adjustRightInd w:val="0"/>
        <w:snapToGrid w:val="0"/>
        <w:spacing w:line="360" w:lineRule="auto"/>
        <w:outlineLvl w:val="0"/>
        <w:rPr>
          <w:rFonts w:hint="default" w:eastAsia="宋体"/>
          <w:b w:val="0"/>
          <w:bCs/>
          <w:sz w:val="24"/>
          <w:szCs w:val="24"/>
          <w:lang w:val="en-US" w:eastAsia="zh-CN"/>
        </w:rPr>
      </w:pPr>
      <w:r>
        <w:rPr>
          <w:rFonts w:hint="eastAsia" w:eastAsia="宋体"/>
          <w:b w:val="0"/>
          <w:bCs/>
          <w:sz w:val="24"/>
          <w:szCs w:val="24"/>
          <w:lang w:val="en-US" w:eastAsia="zh-CN"/>
        </w:rPr>
        <w:t>影响公司的上市地位，不会导致公司控制权发生变化。</w:t>
      </w:r>
    </w:p>
    <w:p>
      <w:pPr>
        <w:snapToGrid w:val="0"/>
        <w:spacing w:line="360" w:lineRule="auto"/>
        <w:ind w:firstLine="482" w:firstLineChars="200"/>
        <w:rPr>
          <w:rFonts w:hint="default" w:eastAsia="宋体"/>
          <w:b/>
          <w:bCs/>
          <w:i w:val="0"/>
          <w:iCs w:val="0"/>
          <w:sz w:val="24"/>
          <w:szCs w:val="24"/>
          <w:lang w:val="en-US" w:eastAsia="zh-CN"/>
        </w:rPr>
      </w:pPr>
      <w:r>
        <w:rPr>
          <w:rFonts w:hint="eastAsia" w:eastAsia="宋体"/>
          <w:b/>
          <w:bCs/>
          <w:i w:val="0"/>
          <w:iCs w:val="0"/>
          <w:sz w:val="24"/>
          <w:szCs w:val="24"/>
          <w:lang w:val="en-US" w:eastAsia="zh-CN"/>
        </w:rPr>
        <w:t>五、备查文件</w:t>
      </w:r>
    </w:p>
    <w:p>
      <w:pPr>
        <w:snapToGrid w:val="0"/>
        <w:spacing w:line="360" w:lineRule="auto"/>
        <w:ind w:firstLine="480" w:firstLineChars="200"/>
        <w:rPr>
          <w:rFonts w:hint="eastAsia" w:eastAsia="宋体"/>
          <w:sz w:val="24"/>
          <w:szCs w:val="24"/>
          <w:lang w:eastAsia="zh-CN"/>
        </w:rPr>
      </w:pPr>
      <w:r>
        <w:rPr>
          <w:rFonts w:hint="eastAsia" w:eastAsia="宋体"/>
          <w:sz w:val="24"/>
          <w:szCs w:val="24"/>
        </w:rPr>
        <w:t>增持主体关于增持计划的书面说明</w:t>
      </w:r>
      <w:r>
        <w:rPr>
          <w:rFonts w:hint="eastAsia" w:eastAsia="宋体"/>
          <w:sz w:val="24"/>
          <w:szCs w:val="24"/>
          <w:lang w:eastAsia="zh-CN"/>
        </w:rPr>
        <w:t>。</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3</w:t>
      </w:r>
      <w:r>
        <w:rPr>
          <w:rFonts w:eastAsia="宋体"/>
          <w:b/>
          <w:sz w:val="24"/>
          <w:szCs w:val="24"/>
        </w:rPr>
        <w:t>月</w:t>
      </w:r>
      <w:r>
        <w:rPr>
          <w:rFonts w:hint="eastAsia" w:eastAsia="宋体"/>
          <w:b/>
          <w:sz w:val="24"/>
          <w:szCs w:val="24"/>
          <w:lang w:val="en-US" w:eastAsia="zh-CN"/>
        </w:rPr>
        <w:t>2</w:t>
      </w:r>
      <w:bookmarkStart w:id="0" w:name="_GoBack"/>
      <w:bookmarkEnd w:id="0"/>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1DE7640"/>
    <w:rsid w:val="02237153"/>
    <w:rsid w:val="02435EE5"/>
    <w:rsid w:val="028D37FB"/>
    <w:rsid w:val="02CF01B1"/>
    <w:rsid w:val="02DD2615"/>
    <w:rsid w:val="03005F32"/>
    <w:rsid w:val="030D40D0"/>
    <w:rsid w:val="030D7D32"/>
    <w:rsid w:val="031E7295"/>
    <w:rsid w:val="03343341"/>
    <w:rsid w:val="033E544F"/>
    <w:rsid w:val="03733562"/>
    <w:rsid w:val="038D108E"/>
    <w:rsid w:val="038F72EC"/>
    <w:rsid w:val="03A865D9"/>
    <w:rsid w:val="03AD4A6D"/>
    <w:rsid w:val="04220EB1"/>
    <w:rsid w:val="04226A84"/>
    <w:rsid w:val="04371027"/>
    <w:rsid w:val="04A3318B"/>
    <w:rsid w:val="04C64E02"/>
    <w:rsid w:val="0503641B"/>
    <w:rsid w:val="05105A18"/>
    <w:rsid w:val="056104BC"/>
    <w:rsid w:val="05B9404A"/>
    <w:rsid w:val="05C2125A"/>
    <w:rsid w:val="05E67615"/>
    <w:rsid w:val="05FA5D1E"/>
    <w:rsid w:val="0605178D"/>
    <w:rsid w:val="06112826"/>
    <w:rsid w:val="06236F09"/>
    <w:rsid w:val="062C661A"/>
    <w:rsid w:val="064D0C7B"/>
    <w:rsid w:val="066F4A33"/>
    <w:rsid w:val="068A0438"/>
    <w:rsid w:val="0693255A"/>
    <w:rsid w:val="06EA2838"/>
    <w:rsid w:val="070161F7"/>
    <w:rsid w:val="072E4129"/>
    <w:rsid w:val="075925E6"/>
    <w:rsid w:val="07992F5A"/>
    <w:rsid w:val="07BB7068"/>
    <w:rsid w:val="080A3FCD"/>
    <w:rsid w:val="0827239F"/>
    <w:rsid w:val="083D5237"/>
    <w:rsid w:val="084142D3"/>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21979"/>
    <w:rsid w:val="0E920773"/>
    <w:rsid w:val="0E9E7E62"/>
    <w:rsid w:val="0ECD436B"/>
    <w:rsid w:val="0ED52CCF"/>
    <w:rsid w:val="0F030352"/>
    <w:rsid w:val="0F075B3D"/>
    <w:rsid w:val="0F413EB1"/>
    <w:rsid w:val="0F74290B"/>
    <w:rsid w:val="0FE1222A"/>
    <w:rsid w:val="0FEE7B63"/>
    <w:rsid w:val="0FF90584"/>
    <w:rsid w:val="0FFE21D2"/>
    <w:rsid w:val="10967BE4"/>
    <w:rsid w:val="10C860A5"/>
    <w:rsid w:val="10DA54EB"/>
    <w:rsid w:val="10FA11B9"/>
    <w:rsid w:val="11105BCB"/>
    <w:rsid w:val="112E5545"/>
    <w:rsid w:val="11A1131D"/>
    <w:rsid w:val="11D27DC5"/>
    <w:rsid w:val="11D6694D"/>
    <w:rsid w:val="11D72E84"/>
    <w:rsid w:val="11FF3BA3"/>
    <w:rsid w:val="12097EEB"/>
    <w:rsid w:val="12F521C1"/>
    <w:rsid w:val="13062350"/>
    <w:rsid w:val="137551BA"/>
    <w:rsid w:val="138253F3"/>
    <w:rsid w:val="13CA78A4"/>
    <w:rsid w:val="13E90E7D"/>
    <w:rsid w:val="13F803B8"/>
    <w:rsid w:val="13F81771"/>
    <w:rsid w:val="13F86D15"/>
    <w:rsid w:val="14130160"/>
    <w:rsid w:val="149B346D"/>
    <w:rsid w:val="149D2C0B"/>
    <w:rsid w:val="149F58E1"/>
    <w:rsid w:val="152336C8"/>
    <w:rsid w:val="15310CF8"/>
    <w:rsid w:val="15447327"/>
    <w:rsid w:val="1588570F"/>
    <w:rsid w:val="158F25CA"/>
    <w:rsid w:val="15B21392"/>
    <w:rsid w:val="16251A7B"/>
    <w:rsid w:val="168604B3"/>
    <w:rsid w:val="16CD3142"/>
    <w:rsid w:val="16DB572C"/>
    <w:rsid w:val="16FE1415"/>
    <w:rsid w:val="172C29D4"/>
    <w:rsid w:val="17330D1A"/>
    <w:rsid w:val="17564E9E"/>
    <w:rsid w:val="178E3F62"/>
    <w:rsid w:val="179A11D6"/>
    <w:rsid w:val="17E31A7D"/>
    <w:rsid w:val="187278CB"/>
    <w:rsid w:val="18B25606"/>
    <w:rsid w:val="18C15495"/>
    <w:rsid w:val="19154E02"/>
    <w:rsid w:val="194075FE"/>
    <w:rsid w:val="19877B1F"/>
    <w:rsid w:val="19951B5B"/>
    <w:rsid w:val="19F84C38"/>
    <w:rsid w:val="1A1C7CD0"/>
    <w:rsid w:val="1A202DC3"/>
    <w:rsid w:val="1A51348E"/>
    <w:rsid w:val="1A595C8F"/>
    <w:rsid w:val="1A5D6431"/>
    <w:rsid w:val="1AAD1ACB"/>
    <w:rsid w:val="1B0C1623"/>
    <w:rsid w:val="1B326183"/>
    <w:rsid w:val="1B3D734C"/>
    <w:rsid w:val="1B447FB2"/>
    <w:rsid w:val="1B85705F"/>
    <w:rsid w:val="1B9158C8"/>
    <w:rsid w:val="1BC00537"/>
    <w:rsid w:val="1BD838BE"/>
    <w:rsid w:val="1BF926A9"/>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456C3D"/>
    <w:rsid w:val="1F7A021E"/>
    <w:rsid w:val="1FAB1086"/>
    <w:rsid w:val="1FCE7A0A"/>
    <w:rsid w:val="1FF36C63"/>
    <w:rsid w:val="20410D06"/>
    <w:rsid w:val="20710830"/>
    <w:rsid w:val="20794362"/>
    <w:rsid w:val="209B3FAE"/>
    <w:rsid w:val="20A94838"/>
    <w:rsid w:val="20C95856"/>
    <w:rsid w:val="20DB2918"/>
    <w:rsid w:val="215A3B58"/>
    <w:rsid w:val="21A878A2"/>
    <w:rsid w:val="21B80284"/>
    <w:rsid w:val="21C469B0"/>
    <w:rsid w:val="21C60C94"/>
    <w:rsid w:val="22083A05"/>
    <w:rsid w:val="22096CA7"/>
    <w:rsid w:val="22895BE8"/>
    <w:rsid w:val="22C67E26"/>
    <w:rsid w:val="23350755"/>
    <w:rsid w:val="23414E98"/>
    <w:rsid w:val="234D01CE"/>
    <w:rsid w:val="23557D99"/>
    <w:rsid w:val="237B467C"/>
    <w:rsid w:val="23B00172"/>
    <w:rsid w:val="23B61459"/>
    <w:rsid w:val="24012D10"/>
    <w:rsid w:val="243F6622"/>
    <w:rsid w:val="24844D27"/>
    <w:rsid w:val="24B95E28"/>
    <w:rsid w:val="24C1538F"/>
    <w:rsid w:val="24E446E9"/>
    <w:rsid w:val="24F80306"/>
    <w:rsid w:val="24FF4E38"/>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391989"/>
    <w:rsid w:val="28525986"/>
    <w:rsid w:val="285B60A9"/>
    <w:rsid w:val="28652863"/>
    <w:rsid w:val="288A5D4C"/>
    <w:rsid w:val="28C536BF"/>
    <w:rsid w:val="28DD25E0"/>
    <w:rsid w:val="28FF1F96"/>
    <w:rsid w:val="29064C4D"/>
    <w:rsid w:val="29655D4A"/>
    <w:rsid w:val="29973DBD"/>
    <w:rsid w:val="29DC5247"/>
    <w:rsid w:val="2B591B29"/>
    <w:rsid w:val="2B6644AD"/>
    <w:rsid w:val="2BB22A8A"/>
    <w:rsid w:val="2BEC617B"/>
    <w:rsid w:val="2BF54791"/>
    <w:rsid w:val="2C240C3C"/>
    <w:rsid w:val="2C672833"/>
    <w:rsid w:val="2C837CC5"/>
    <w:rsid w:val="2C893779"/>
    <w:rsid w:val="2CD418E5"/>
    <w:rsid w:val="2D0E6475"/>
    <w:rsid w:val="2DB24AA4"/>
    <w:rsid w:val="2DB615D4"/>
    <w:rsid w:val="2DE043C2"/>
    <w:rsid w:val="2E0C7A1C"/>
    <w:rsid w:val="2E1D46A8"/>
    <w:rsid w:val="2E4F5666"/>
    <w:rsid w:val="2E821397"/>
    <w:rsid w:val="2E8350B5"/>
    <w:rsid w:val="2E846E01"/>
    <w:rsid w:val="2E8F1ECC"/>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54B20"/>
    <w:rsid w:val="359B5634"/>
    <w:rsid w:val="359F07A3"/>
    <w:rsid w:val="35B75306"/>
    <w:rsid w:val="35DA7390"/>
    <w:rsid w:val="35DD5BE8"/>
    <w:rsid w:val="35E6793D"/>
    <w:rsid w:val="35F1548B"/>
    <w:rsid w:val="3667221E"/>
    <w:rsid w:val="3681148B"/>
    <w:rsid w:val="369063FA"/>
    <w:rsid w:val="36A646A7"/>
    <w:rsid w:val="378A2713"/>
    <w:rsid w:val="37AF093D"/>
    <w:rsid w:val="37D24CA4"/>
    <w:rsid w:val="38F77026"/>
    <w:rsid w:val="390B3BAD"/>
    <w:rsid w:val="39353570"/>
    <w:rsid w:val="3A915C02"/>
    <w:rsid w:val="3AB62979"/>
    <w:rsid w:val="3ABF293E"/>
    <w:rsid w:val="3ACF2DFF"/>
    <w:rsid w:val="3AD60E6F"/>
    <w:rsid w:val="3B1E2C92"/>
    <w:rsid w:val="3B627CF4"/>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10D3985"/>
    <w:rsid w:val="411C2F72"/>
    <w:rsid w:val="41870684"/>
    <w:rsid w:val="41946782"/>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2520DD"/>
    <w:rsid w:val="453B32A8"/>
    <w:rsid w:val="454E77EE"/>
    <w:rsid w:val="461F3EBE"/>
    <w:rsid w:val="464E73A4"/>
    <w:rsid w:val="4684492B"/>
    <w:rsid w:val="46885010"/>
    <w:rsid w:val="469E548C"/>
    <w:rsid w:val="46AD6854"/>
    <w:rsid w:val="4705712E"/>
    <w:rsid w:val="47CB3E36"/>
    <w:rsid w:val="47F61B67"/>
    <w:rsid w:val="485A0EA8"/>
    <w:rsid w:val="486354FC"/>
    <w:rsid w:val="48811E6D"/>
    <w:rsid w:val="488A744B"/>
    <w:rsid w:val="48DF35DF"/>
    <w:rsid w:val="492926C9"/>
    <w:rsid w:val="49725FD1"/>
    <w:rsid w:val="49BF4571"/>
    <w:rsid w:val="4A145737"/>
    <w:rsid w:val="4A365D92"/>
    <w:rsid w:val="4A4F7B6C"/>
    <w:rsid w:val="4A515382"/>
    <w:rsid w:val="4A8B7951"/>
    <w:rsid w:val="4AD51513"/>
    <w:rsid w:val="4AEF427C"/>
    <w:rsid w:val="4BA56ACE"/>
    <w:rsid w:val="4BB23BBB"/>
    <w:rsid w:val="4BB42B60"/>
    <w:rsid w:val="4BCE305D"/>
    <w:rsid w:val="4C4614BD"/>
    <w:rsid w:val="4C6D376A"/>
    <w:rsid w:val="4C936A3B"/>
    <w:rsid w:val="4CEF26B4"/>
    <w:rsid w:val="4D1B4648"/>
    <w:rsid w:val="4D6F59A6"/>
    <w:rsid w:val="4DCA5C65"/>
    <w:rsid w:val="4DEF3BEF"/>
    <w:rsid w:val="4E076833"/>
    <w:rsid w:val="4E231736"/>
    <w:rsid w:val="4E27013D"/>
    <w:rsid w:val="4E9354A6"/>
    <w:rsid w:val="4F0F2447"/>
    <w:rsid w:val="4F120A7A"/>
    <w:rsid w:val="4F217F9B"/>
    <w:rsid w:val="4F505B88"/>
    <w:rsid w:val="4F604D34"/>
    <w:rsid w:val="4FEC6678"/>
    <w:rsid w:val="50443630"/>
    <w:rsid w:val="504C3368"/>
    <w:rsid w:val="5067612A"/>
    <w:rsid w:val="509C405F"/>
    <w:rsid w:val="50F03809"/>
    <w:rsid w:val="50FF71E7"/>
    <w:rsid w:val="5126460E"/>
    <w:rsid w:val="51766FA2"/>
    <w:rsid w:val="5188598E"/>
    <w:rsid w:val="51936115"/>
    <w:rsid w:val="51D6626D"/>
    <w:rsid w:val="521E7F95"/>
    <w:rsid w:val="523E4376"/>
    <w:rsid w:val="52400863"/>
    <w:rsid w:val="525853E7"/>
    <w:rsid w:val="52B20682"/>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6010F7"/>
    <w:rsid w:val="5A751744"/>
    <w:rsid w:val="5AC2653B"/>
    <w:rsid w:val="5AE747C3"/>
    <w:rsid w:val="5B092265"/>
    <w:rsid w:val="5B0F786F"/>
    <w:rsid w:val="5B3E0ACF"/>
    <w:rsid w:val="5B4A3D91"/>
    <w:rsid w:val="5B5C25E4"/>
    <w:rsid w:val="5B774E71"/>
    <w:rsid w:val="5B86479E"/>
    <w:rsid w:val="5B9E6027"/>
    <w:rsid w:val="5BA23B0C"/>
    <w:rsid w:val="5BCC52B7"/>
    <w:rsid w:val="5C0B3189"/>
    <w:rsid w:val="5C0E651B"/>
    <w:rsid w:val="5C2442E8"/>
    <w:rsid w:val="5C463AE1"/>
    <w:rsid w:val="5C4C1B75"/>
    <w:rsid w:val="5C6F7962"/>
    <w:rsid w:val="5CDF7D10"/>
    <w:rsid w:val="5CFF5879"/>
    <w:rsid w:val="5D2B4BB7"/>
    <w:rsid w:val="5D4930BF"/>
    <w:rsid w:val="5D8A4F8E"/>
    <w:rsid w:val="5E1D09B1"/>
    <w:rsid w:val="5E42737D"/>
    <w:rsid w:val="5E43257A"/>
    <w:rsid w:val="5E6C2D25"/>
    <w:rsid w:val="5E984F4E"/>
    <w:rsid w:val="5EE0506F"/>
    <w:rsid w:val="5F362843"/>
    <w:rsid w:val="5F63338A"/>
    <w:rsid w:val="5F6A70D2"/>
    <w:rsid w:val="5F7C130F"/>
    <w:rsid w:val="5F9472E7"/>
    <w:rsid w:val="5F9E5A83"/>
    <w:rsid w:val="600A602E"/>
    <w:rsid w:val="603F2C9B"/>
    <w:rsid w:val="60527107"/>
    <w:rsid w:val="607C091B"/>
    <w:rsid w:val="60982C3C"/>
    <w:rsid w:val="60B55130"/>
    <w:rsid w:val="611412CD"/>
    <w:rsid w:val="61171764"/>
    <w:rsid w:val="611C403B"/>
    <w:rsid w:val="612C310A"/>
    <w:rsid w:val="612F7E3B"/>
    <w:rsid w:val="61687FE2"/>
    <w:rsid w:val="61807FF6"/>
    <w:rsid w:val="61AA735E"/>
    <w:rsid w:val="61E86642"/>
    <w:rsid w:val="621A3574"/>
    <w:rsid w:val="62AB7D14"/>
    <w:rsid w:val="62B97337"/>
    <w:rsid w:val="62E01977"/>
    <w:rsid w:val="62E95975"/>
    <w:rsid w:val="62F507BA"/>
    <w:rsid w:val="635D3582"/>
    <w:rsid w:val="63613472"/>
    <w:rsid w:val="63681B9C"/>
    <w:rsid w:val="63D262A7"/>
    <w:rsid w:val="63D8455C"/>
    <w:rsid w:val="64643702"/>
    <w:rsid w:val="64B03B59"/>
    <w:rsid w:val="64E06A1A"/>
    <w:rsid w:val="64E351D7"/>
    <w:rsid w:val="64FF45CD"/>
    <w:rsid w:val="65147CC8"/>
    <w:rsid w:val="6537655B"/>
    <w:rsid w:val="654A1320"/>
    <w:rsid w:val="65681D1D"/>
    <w:rsid w:val="65856911"/>
    <w:rsid w:val="65D331FF"/>
    <w:rsid w:val="663B75F8"/>
    <w:rsid w:val="668C02C9"/>
    <w:rsid w:val="669407C0"/>
    <w:rsid w:val="66A8173D"/>
    <w:rsid w:val="66CF4A15"/>
    <w:rsid w:val="66F50CAA"/>
    <w:rsid w:val="67194E2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DC1DEB"/>
    <w:rsid w:val="6AE00BC1"/>
    <w:rsid w:val="6B23238E"/>
    <w:rsid w:val="6B38463A"/>
    <w:rsid w:val="6B3A1344"/>
    <w:rsid w:val="6B4E619A"/>
    <w:rsid w:val="6B8148DE"/>
    <w:rsid w:val="6BE60AD2"/>
    <w:rsid w:val="6C2D2B5A"/>
    <w:rsid w:val="6C461D15"/>
    <w:rsid w:val="6C7B529C"/>
    <w:rsid w:val="6C7C2784"/>
    <w:rsid w:val="6C8A10F7"/>
    <w:rsid w:val="6C991530"/>
    <w:rsid w:val="6CA84F28"/>
    <w:rsid w:val="6CAC6D99"/>
    <w:rsid w:val="6CC3543E"/>
    <w:rsid w:val="6CDC3B2B"/>
    <w:rsid w:val="6CDF1EAF"/>
    <w:rsid w:val="6CE63799"/>
    <w:rsid w:val="6D2F3BBD"/>
    <w:rsid w:val="6D7B7A66"/>
    <w:rsid w:val="6D905698"/>
    <w:rsid w:val="6DA61A64"/>
    <w:rsid w:val="6DBD0949"/>
    <w:rsid w:val="6DCA209B"/>
    <w:rsid w:val="6E1603CB"/>
    <w:rsid w:val="6E577091"/>
    <w:rsid w:val="6E814F53"/>
    <w:rsid w:val="6E84034D"/>
    <w:rsid w:val="6F0D1E43"/>
    <w:rsid w:val="6F15442F"/>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2E31C10"/>
    <w:rsid w:val="730D7616"/>
    <w:rsid w:val="73310E11"/>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9D1504"/>
    <w:rsid w:val="7BE34C4E"/>
    <w:rsid w:val="7C403B9E"/>
    <w:rsid w:val="7C5D3006"/>
    <w:rsid w:val="7C993F7F"/>
    <w:rsid w:val="7CB32FA8"/>
    <w:rsid w:val="7CBE27BE"/>
    <w:rsid w:val="7CC5604D"/>
    <w:rsid w:val="7CD3558A"/>
    <w:rsid w:val="7CE27CFF"/>
    <w:rsid w:val="7D9F149E"/>
    <w:rsid w:val="7DD34743"/>
    <w:rsid w:val="7DF12D8F"/>
    <w:rsid w:val="7DF52673"/>
    <w:rsid w:val="7E14633A"/>
    <w:rsid w:val="7E670716"/>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8</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2024-03-01T07:40:51Z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